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0069-01-2024-013187-38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Бурлюкина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Дениса Юрьевича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Бурлюкин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>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Нижневартовское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шоссе, д. 5/1, офис 204,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>до 2</w:t>
      </w:r>
      <w:r>
        <w:rPr>
          <w:rFonts w:ascii="Times New Roman" w:eastAsia="Times New Roman" w:hAnsi="Times New Roman" w:cs="Times New Roman"/>
          <w:sz w:val="26"/>
          <w:szCs w:val="26"/>
        </w:rPr>
        <w:t>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Бурлюкин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Бурлюкина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Бурлюкина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549482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т 10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Бурлюкина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Бурлюкина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Дениса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79786021012240396789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И.о. мирового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 xml:space="preserve">окумент </w:t>
      </w:r>
      <w:r>
        <w:rPr>
          <w:rFonts w:ascii="Times New Roman" w:eastAsia="Times New Roman" w:hAnsi="Times New Roman" w:cs="Times New Roman"/>
        </w:rPr>
        <w:t>находит</w:t>
      </w:r>
      <w:r>
        <w:rPr>
          <w:rFonts w:ascii="Times New Roman" w:eastAsia="Times New Roman" w:hAnsi="Times New Roman" w:cs="Times New Roman"/>
        </w:rPr>
        <w:t xml:space="preserve">ся в деле № </w:t>
      </w:r>
      <w:r>
        <w:rPr>
          <w:rFonts w:ascii="Times New Roman" w:eastAsia="Times New Roman" w:hAnsi="Times New Roman" w:cs="Times New Roman"/>
        </w:rPr>
        <w:t>5-77</w:t>
      </w:r>
      <w:r>
        <w:rPr>
          <w:rFonts w:ascii="Times New Roman" w:eastAsia="Times New Roman" w:hAnsi="Times New Roman" w:cs="Times New Roman"/>
        </w:rPr>
        <w:t>-2614/2025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